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rFonts w:ascii="Raleway" w:cs="Raleway" w:eastAsia="Raleway" w:hAnsi="Raleway"/>
          <w:b w:val="1"/>
          <w:sz w:val="34"/>
          <w:szCs w:val="34"/>
        </w:rPr>
      </w:pPr>
      <w:r w:rsidDel="00000000" w:rsidR="00000000" w:rsidRPr="00000000">
        <w:rPr>
          <w:rFonts w:ascii="Raleway" w:cs="Raleway" w:eastAsia="Raleway" w:hAnsi="Raleway"/>
          <w:b w:val="1"/>
          <w:sz w:val="34"/>
          <w:szCs w:val="34"/>
          <w:rtl w:val="0"/>
        </w:rPr>
        <w:t xml:space="preserve">Reto 100 días de música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Fechas estimadas: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7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Método o métodos: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7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Objetivo u objetivos: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